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bCs/>
          <w:sz w:val="36"/>
          <w:szCs w:val="36"/>
        </w:rPr>
      </w:pPr>
      <w:r>
        <w:rPr>
          <w:rFonts w:hint="eastAsia"/>
          <w:b/>
          <w:bCs/>
          <w:sz w:val="36"/>
          <w:szCs w:val="36"/>
        </w:rPr>
        <w:t>招 聘 通 知</w:t>
      </w:r>
    </w:p>
    <w:p>
      <w:pPr>
        <w:keepNext w:val="0"/>
        <w:keepLines w:val="0"/>
        <w:pageBreakBefore w:val="0"/>
        <w:widowControl/>
        <w:numPr>
          <w:ilvl w:val="0"/>
          <w:numId w:val="0"/>
        </w:numPr>
        <w:kinsoku/>
        <w:wordWrap/>
        <w:overflowPunct/>
        <w:topLinePunct w:val="0"/>
        <w:autoSpaceDE/>
        <w:autoSpaceDN/>
        <w:bidi w:val="0"/>
        <w:snapToGrid w:val="0"/>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各位同学：</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招就中心将于元月17日(本周五)下午三点半举行陕西重型汽车有限公司、陕西汉德车桥有限公司、陕汽集团商用车有限公司、陕西万方汽车零部件有限公司、陕西金鼎铸造有限公司和陕西同昌元电器有限公司六家单位的联合招聘会，具体招聘地点：教学楼101教室。符合安置条件学生范围：</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1、2020年、2021年春季毕业的在校学生。</w:t>
      </w:r>
      <w:bookmarkStart w:id="4" w:name="_GoBack"/>
      <w:bookmarkEnd w:id="4"/>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2、除以上条件外，1998年以前出生（含1998年），即年满22周岁在校生的也可参加此次招聘。不含2019年秋季新生。</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3、请有意愿参加企业招聘的学生填报报名表。</w:t>
      </w:r>
    </w:p>
    <w:p>
      <w:pPr>
        <w:numPr>
          <w:ilvl w:val="0"/>
          <w:numId w:val="0"/>
        </w:numPr>
        <w:spacing w:line="440" w:lineRule="exact"/>
        <w:ind w:leftChars="427"/>
        <w:rPr>
          <w:rFonts w:hint="eastAsia" w:ascii="微软雅黑" w:hAnsi="微软雅黑"/>
          <w:sz w:val="28"/>
          <w:szCs w:val="28"/>
          <w:lang w:val="en-US" w:eastAsia="zh-CN"/>
        </w:rPr>
      </w:pPr>
    </w:p>
    <w:p>
      <w:pPr>
        <w:numPr>
          <w:ilvl w:val="0"/>
          <w:numId w:val="0"/>
        </w:numPr>
        <w:spacing w:line="440" w:lineRule="exact"/>
        <w:ind w:leftChars="427"/>
        <w:rPr>
          <w:rFonts w:hint="eastAsia" w:ascii="微软雅黑" w:hAnsi="微软雅黑"/>
          <w:sz w:val="28"/>
          <w:szCs w:val="28"/>
          <w:lang w:val="en-US" w:eastAsia="zh-CN"/>
        </w:rPr>
      </w:pPr>
    </w:p>
    <w:p>
      <w:pPr>
        <w:numPr>
          <w:ilvl w:val="0"/>
          <w:numId w:val="0"/>
        </w:numPr>
        <w:spacing w:line="440" w:lineRule="exact"/>
        <w:ind w:leftChars="327"/>
        <w:rPr>
          <w:rFonts w:hint="eastAsia" w:ascii="仿宋" w:hAnsi="仿宋" w:eastAsia="仿宋" w:cs="仿宋"/>
          <w:sz w:val="30"/>
          <w:szCs w:val="30"/>
          <w:lang w:val="en-US" w:eastAsia="zh-CN"/>
        </w:rPr>
      </w:pPr>
    </w:p>
    <w:p>
      <w:pPr>
        <w:numPr>
          <w:ilvl w:val="0"/>
          <w:numId w:val="0"/>
        </w:numPr>
        <w:spacing w:line="440" w:lineRule="exact"/>
        <w:ind w:leftChars="327"/>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后附：</w:t>
      </w:r>
    </w:p>
    <w:p>
      <w:pPr>
        <w:numPr>
          <w:ilvl w:val="0"/>
          <w:numId w:val="1"/>
        </w:numPr>
        <w:spacing w:line="440" w:lineRule="exact"/>
        <w:ind w:leftChars="327"/>
        <w:rPr>
          <w:rFonts w:hint="eastAsia" w:ascii="仿宋" w:hAnsi="仿宋" w:eastAsia="仿宋" w:cs="仿宋"/>
          <w:sz w:val="30"/>
          <w:szCs w:val="30"/>
          <w:lang w:val="en-US" w:eastAsia="zh-CN"/>
        </w:rPr>
      </w:pPr>
      <w:r>
        <w:rPr>
          <w:rFonts w:ascii="微软雅黑" w:hAnsi="微软雅黑"/>
          <w:sz w:val="28"/>
          <w:szCs w:val="28"/>
        </w:rPr>
        <w:drawing>
          <wp:anchor distT="0" distB="0" distL="114300" distR="114300" simplePos="0" relativeHeight="251658240" behindDoc="1" locked="0" layoutInCell="1" allowOverlap="1">
            <wp:simplePos x="0" y="0"/>
            <wp:positionH relativeFrom="column">
              <wp:posOffset>2809875</wp:posOffset>
            </wp:positionH>
            <wp:positionV relativeFrom="paragraph">
              <wp:posOffset>388620</wp:posOffset>
            </wp:positionV>
            <wp:extent cx="3305175" cy="3067050"/>
            <wp:effectExtent l="0" t="0" r="9525" b="0"/>
            <wp:wrapNone/>
            <wp:docPr id="1" name="图片 0" descr="QQ截图201811151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181115105918.jpg"/>
                    <pic:cNvPicPr>
                      <a:picLocks noChangeAspect="1"/>
                    </pic:cNvPicPr>
                  </pic:nvPicPr>
                  <pic:blipFill>
                    <a:blip r:embed="rId4"/>
                    <a:stretch>
                      <a:fillRect/>
                    </a:stretch>
                  </pic:blipFill>
                  <pic:spPr>
                    <a:xfrm>
                      <a:off x="0" y="0"/>
                      <a:ext cx="3305175" cy="3067050"/>
                    </a:xfrm>
                    <a:prstGeom prst="rect">
                      <a:avLst/>
                    </a:prstGeom>
                    <a:noFill/>
                    <a:ln>
                      <a:noFill/>
                    </a:ln>
                  </pic:spPr>
                </pic:pic>
              </a:graphicData>
            </a:graphic>
          </wp:anchor>
        </w:drawing>
      </w:r>
      <w:r>
        <w:rPr>
          <w:rFonts w:hint="eastAsia" w:ascii="仿宋" w:hAnsi="仿宋" w:eastAsia="仿宋" w:cs="仿宋"/>
          <w:sz w:val="30"/>
          <w:szCs w:val="30"/>
          <w:lang w:val="en-US" w:eastAsia="zh-CN"/>
        </w:rPr>
        <w:t>应聘报名表</w:t>
      </w:r>
    </w:p>
    <w:p>
      <w:pPr>
        <w:numPr>
          <w:ilvl w:val="0"/>
          <w:numId w:val="1"/>
        </w:numPr>
        <w:spacing w:line="440" w:lineRule="exact"/>
        <w:ind w:leftChars="327"/>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公司简介</w:t>
      </w:r>
    </w:p>
    <w:p>
      <w:pPr>
        <w:spacing w:line="440" w:lineRule="exact"/>
        <w:rPr>
          <w:rFonts w:hint="eastAsia" w:ascii="微软雅黑" w:hAnsi="微软雅黑"/>
          <w:sz w:val="28"/>
          <w:szCs w:val="28"/>
          <w:lang w:eastAsia="zh-CN"/>
        </w:rPr>
      </w:pPr>
    </w:p>
    <w:p>
      <w:pPr>
        <w:spacing w:line="440" w:lineRule="exact"/>
        <w:rPr>
          <w:rFonts w:hint="eastAsia" w:ascii="微软雅黑" w:hAnsi="微软雅黑" w:eastAsia="微软雅黑"/>
          <w:sz w:val="28"/>
          <w:szCs w:val="28"/>
          <w:lang w:eastAsia="zh-CN"/>
        </w:rPr>
      </w:pPr>
    </w:p>
    <w:p>
      <w:pPr>
        <w:spacing w:line="440" w:lineRule="exact"/>
        <w:ind w:firstLine="452" w:firstLineChars="15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招生就业服务中心</w:t>
      </w:r>
    </w:p>
    <w:p>
      <w:pPr>
        <w:spacing w:line="440" w:lineRule="exact"/>
        <w:ind w:firstLine="452" w:firstLineChars="150"/>
        <w:rPr>
          <w:rFonts w:ascii="微软雅黑" w:hAnsi="微软雅黑"/>
          <w:sz w:val="28"/>
          <w:szCs w:val="28"/>
        </w:rPr>
      </w:pPr>
      <w:r>
        <w:rPr>
          <w:rFonts w:hint="eastAsia" w:ascii="仿宋" w:hAnsi="仿宋" w:eastAsia="仿宋" w:cs="仿宋"/>
          <w:b/>
          <w:bCs/>
          <w:sz w:val="30"/>
          <w:szCs w:val="30"/>
          <w:lang w:val="en-US" w:eastAsia="zh-CN"/>
        </w:rPr>
        <w:t xml:space="preserve">                                    2020年元月15日</w:t>
      </w:r>
    </w:p>
    <w:p>
      <w:pPr>
        <w:spacing w:line="440" w:lineRule="exact"/>
        <w:ind w:firstLine="420" w:firstLineChars="150"/>
        <w:jc w:val="center"/>
        <w:rPr>
          <w:rFonts w:hint="eastAsia" w:ascii="微软雅黑" w:hAnsi="微软雅黑"/>
          <w:sz w:val="28"/>
          <w:szCs w:val="28"/>
          <w:lang w:val="en-US" w:eastAsia="zh-CN"/>
        </w:rPr>
      </w:pPr>
    </w:p>
    <w:p>
      <w:pPr>
        <w:spacing w:line="440" w:lineRule="exact"/>
        <w:ind w:firstLine="420" w:firstLineChars="150"/>
        <w:rPr>
          <w:rFonts w:ascii="微软雅黑" w:hAnsi="微软雅黑"/>
          <w:sz w:val="28"/>
          <w:szCs w:val="28"/>
        </w:rPr>
      </w:pPr>
      <w:r>
        <w:rPr>
          <w:rFonts w:hint="eastAsia" w:ascii="微软雅黑" w:hAnsi="微软雅黑"/>
          <w:sz w:val="28"/>
          <w:szCs w:val="28"/>
          <w:lang w:val="en-US" w:eastAsia="zh-CN"/>
        </w:rPr>
        <w:t xml:space="preserve">                                     </w:t>
      </w:r>
      <w:r>
        <w:rPr>
          <w:rFonts w:hint="eastAsia" w:ascii="仿宋" w:hAnsi="仿宋" w:eastAsia="仿宋" w:cs="仿宋"/>
          <w:sz w:val="30"/>
          <w:szCs w:val="30"/>
          <w:lang w:val="en-US" w:eastAsia="zh-CN"/>
        </w:rPr>
        <w:t xml:space="preserve"> </w:t>
      </w:r>
    </w:p>
    <w:p>
      <w:pPr>
        <w:spacing w:line="440" w:lineRule="exact"/>
        <w:ind w:firstLine="420" w:firstLineChars="150"/>
        <w:jc w:val="center"/>
        <w:rPr>
          <w:rFonts w:hint="eastAsia" w:ascii="仿宋" w:hAnsi="仿宋" w:eastAsia="仿宋" w:cs="仿宋"/>
          <w:b/>
          <w:bCs/>
          <w:sz w:val="30"/>
          <w:szCs w:val="30"/>
          <w:lang w:val="en-US" w:eastAsia="zh-CN"/>
        </w:rPr>
      </w:pPr>
      <w:r>
        <w:rPr>
          <w:rFonts w:hint="eastAsia" w:ascii="微软雅黑" w:hAnsi="微软雅黑"/>
          <w:sz w:val="28"/>
          <w:szCs w:val="28"/>
          <w:lang w:val="en-US" w:eastAsia="zh-CN"/>
        </w:rPr>
        <w:t xml:space="preserve">                               </w:t>
      </w:r>
    </w:p>
    <w:p>
      <w:pPr>
        <w:jc w:val="left"/>
        <w:rPr>
          <w:rFonts w:hint="default" w:ascii="黑体" w:eastAsia="黑体"/>
          <w:bCs/>
          <w:sz w:val="28"/>
          <w:szCs w:val="28"/>
          <w:lang w:val="en-US" w:eastAsia="zh-CN"/>
        </w:rPr>
      </w:pPr>
      <w:r>
        <w:rPr>
          <w:rFonts w:hint="eastAsia" w:ascii="黑体" w:eastAsia="黑体"/>
          <w:bCs/>
          <w:sz w:val="28"/>
          <w:szCs w:val="28"/>
          <w:lang w:eastAsia="zh-CN"/>
        </w:rPr>
        <w:t>附</w:t>
      </w:r>
      <w:r>
        <w:rPr>
          <w:rFonts w:hint="eastAsia" w:ascii="黑体" w:eastAsia="黑体"/>
          <w:bCs/>
          <w:sz w:val="28"/>
          <w:szCs w:val="28"/>
          <w:lang w:val="en-US" w:eastAsia="zh-CN"/>
        </w:rPr>
        <w:t>1</w:t>
      </w:r>
    </w:p>
    <w:p>
      <w:pPr>
        <w:keepNext w:val="0"/>
        <w:keepLines w:val="0"/>
        <w:widowControl/>
        <w:suppressLineNumbers w:val="0"/>
        <w:jc w:val="left"/>
      </w:pPr>
      <w:r>
        <w:rPr>
          <w:rFonts w:ascii="MicrosoftYaHei-Bold" w:hAnsi="MicrosoftYaHei-Bold" w:eastAsia="MicrosoftYaHei-Bold" w:cs="MicrosoftYaHei-Bold"/>
          <w:b/>
          <w:color w:val="FFFFFF"/>
          <w:kern w:val="0"/>
          <w:sz w:val="48"/>
          <w:szCs w:val="48"/>
          <w:lang w:val="en-US" w:eastAsia="zh-CN" w:bidi="ar"/>
        </w:rPr>
        <w:t>陕西辉贸</w:t>
      </w:r>
    </w:p>
    <w:p>
      <w:pPr>
        <w:jc w:val="center"/>
        <w:rPr>
          <w:rFonts w:hint="eastAsia" w:ascii="黑体" w:eastAsia="黑体"/>
          <w:bCs/>
          <w:sz w:val="36"/>
          <w:szCs w:val="36"/>
          <w:lang w:eastAsia="zh-CN"/>
        </w:rPr>
      </w:pPr>
      <w:r>
        <w:rPr>
          <w:rFonts w:hint="eastAsia" w:ascii="黑体" w:eastAsia="黑体"/>
          <w:bCs/>
          <w:sz w:val="36"/>
          <w:szCs w:val="36"/>
          <w:lang w:eastAsia="zh-CN"/>
        </w:rPr>
        <w:t>应聘报名表</w:t>
      </w:r>
    </w:p>
    <w:tbl>
      <w:tblPr>
        <w:tblStyle w:val="7"/>
        <w:tblW w:w="1005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78"/>
        <w:gridCol w:w="507"/>
        <w:gridCol w:w="2418"/>
        <w:gridCol w:w="1542"/>
        <w:gridCol w:w="1380"/>
        <w:gridCol w:w="157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序号</w:t>
            </w:r>
          </w:p>
        </w:tc>
        <w:tc>
          <w:tcPr>
            <w:tcW w:w="1278"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姓名</w:t>
            </w:r>
          </w:p>
        </w:tc>
        <w:tc>
          <w:tcPr>
            <w:tcW w:w="507"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性别</w:t>
            </w:r>
          </w:p>
        </w:tc>
        <w:tc>
          <w:tcPr>
            <w:tcW w:w="2418"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身份证号</w:t>
            </w:r>
          </w:p>
        </w:tc>
        <w:tc>
          <w:tcPr>
            <w:tcW w:w="1542" w:type="dxa"/>
            <w:vAlign w:val="center"/>
          </w:tcPr>
          <w:p>
            <w:pPr>
              <w:widowControl w:val="0"/>
              <w:jc w:val="center"/>
              <w:rPr>
                <w:rFonts w:hint="eastAsia" w:ascii="黑体" w:eastAsia="黑体"/>
                <w:bCs/>
                <w:sz w:val="28"/>
                <w:szCs w:val="28"/>
                <w:vertAlign w:val="baseline"/>
                <w:lang w:val="en-US" w:eastAsia="zh-CN"/>
              </w:rPr>
            </w:pPr>
            <w:r>
              <w:rPr>
                <w:rFonts w:hint="eastAsia" w:ascii="黑体" w:eastAsia="黑体"/>
                <w:bCs/>
                <w:sz w:val="28"/>
                <w:szCs w:val="28"/>
                <w:vertAlign w:val="baseline"/>
                <w:lang w:eastAsia="zh-CN"/>
              </w:rPr>
              <w:t>专业</w:t>
            </w:r>
            <w:r>
              <w:rPr>
                <w:rFonts w:hint="eastAsia" w:ascii="黑体" w:eastAsia="黑体"/>
                <w:bCs/>
                <w:sz w:val="28"/>
                <w:szCs w:val="28"/>
                <w:vertAlign w:val="baseline"/>
                <w:lang w:val="en-US" w:eastAsia="zh-CN"/>
              </w:rPr>
              <w:t>/班级</w:t>
            </w:r>
          </w:p>
        </w:tc>
        <w:tc>
          <w:tcPr>
            <w:tcW w:w="1380"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联系电话</w:t>
            </w:r>
          </w:p>
        </w:tc>
        <w:tc>
          <w:tcPr>
            <w:tcW w:w="1578"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班主任</w:t>
            </w:r>
          </w:p>
        </w:tc>
        <w:tc>
          <w:tcPr>
            <w:tcW w:w="735"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1</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2</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3</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4</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bl>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default" w:ascii="黑体" w:eastAsia="黑体"/>
          <w:bCs/>
          <w:sz w:val="28"/>
          <w:szCs w:val="28"/>
          <w:lang w:val="en-US" w:eastAsia="zh-CN"/>
        </w:rPr>
      </w:pPr>
      <w:r>
        <w:rPr>
          <w:rFonts w:hint="eastAsia" w:ascii="黑体" w:eastAsia="黑体"/>
          <w:bCs/>
          <w:sz w:val="28"/>
          <w:szCs w:val="28"/>
          <w:lang w:eastAsia="zh-CN"/>
        </w:rPr>
        <w:t>附</w:t>
      </w:r>
      <w:r>
        <w:rPr>
          <w:rFonts w:hint="eastAsia" w:ascii="黑体" w:eastAsia="黑体"/>
          <w:bCs/>
          <w:sz w:val="28"/>
          <w:szCs w:val="28"/>
          <w:lang w:val="en-US" w:eastAsia="zh-CN"/>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2711" w:firstLineChars="900"/>
        <w:jc w:val="both"/>
        <w:rPr>
          <w:rFonts w:hint="eastAsia" w:ascii="黑体" w:hAnsi="黑体" w:eastAsia="黑体" w:cs="黑体"/>
          <w:b/>
          <w:bCs/>
          <w:i w:val="0"/>
          <w:caps w:val="0"/>
          <w:color w:val="333333"/>
          <w:spacing w:val="0"/>
          <w:sz w:val="30"/>
          <w:szCs w:val="30"/>
        </w:rPr>
      </w:pPr>
      <w:r>
        <w:rPr>
          <w:rFonts w:hint="eastAsia" w:ascii="黑体" w:hAnsi="黑体" w:eastAsia="黑体" w:cs="黑体"/>
          <w:b/>
          <w:bCs/>
          <w:i w:val="0"/>
          <w:caps w:val="0"/>
          <w:color w:val="000000"/>
          <w:spacing w:val="0"/>
          <w:kern w:val="0"/>
          <w:sz w:val="30"/>
          <w:szCs w:val="30"/>
          <w:shd w:val="clear" w:fill="FFFFFF"/>
          <w:lang w:val="en-US" w:eastAsia="zh-CN" w:bidi="ar"/>
        </w:rPr>
        <w:t>陕西重型汽车有限公司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tLeast"/>
        <w:ind w:left="0" w:right="0"/>
        <w:jc w:val="both"/>
        <w:textAlignment w:val="auto"/>
        <w:rPr>
          <w:rFonts w:hint="eastAsia" w:ascii="仿宋" w:hAnsi="仿宋" w:eastAsia="仿宋" w:cs="仿宋"/>
          <w:sz w:val="24"/>
          <w:szCs w:val="24"/>
        </w:rPr>
      </w:pPr>
      <w:r>
        <w:rPr>
          <w:rFonts w:hint="eastAsia" w:ascii="宋体" w:hAnsi="宋体" w:eastAsia="宋体" w:cs="宋体"/>
          <w:i w:val="0"/>
          <w:caps w:val="0"/>
          <w:color w:val="000000"/>
          <w:spacing w:val="0"/>
          <w:sz w:val="18"/>
          <w:szCs w:val="18"/>
          <w:shd w:val="clear" w:fill="FFFFFF"/>
        </w:rPr>
        <w:t>   </w:t>
      </w:r>
      <w:r>
        <w:rPr>
          <w:rFonts w:hint="eastAsia" w:ascii="宋体" w:hAnsi="宋体" w:eastAsia="宋体" w:cs="宋体"/>
          <w:i w:val="0"/>
          <w:caps w:val="0"/>
          <w:color w:val="000000"/>
          <w:spacing w:val="0"/>
          <w:sz w:val="24"/>
          <w:szCs w:val="24"/>
          <w:shd w:val="clear" w:fill="FFFFFF"/>
        </w:rPr>
        <w:t xml:space="preserve"> </w:t>
      </w:r>
      <w:r>
        <w:rPr>
          <w:rFonts w:hint="eastAsia" w:ascii="仿宋" w:hAnsi="仿宋" w:eastAsia="仿宋" w:cs="仿宋"/>
          <w:i w:val="0"/>
          <w:caps w:val="0"/>
          <w:color w:val="000000"/>
          <w:spacing w:val="0"/>
          <w:sz w:val="24"/>
          <w:szCs w:val="24"/>
          <w:shd w:val="clear" w:fill="FFFFFF"/>
        </w:rPr>
        <w:t>陕西重型汽车有限公司（以下简称“陕重汽”）成立于2002年，是商用车领域全球知名企业、我国西北地区最大的重卡制造商，总部位于陕西省西安市，现有资产总额307亿元，从业人员1.6万人，产品覆盖重型军用越野车、重型卡车、重型车桥及汽车后市场等领域，拥有现代化的国家级企业技术中心、国内一流的重卡新能源研究开发与应用实验室以及博士后科研工作站和院士专家工作站，凭借领先技术和贴心服务成为了商用车行业高质量发展的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tLeast"/>
        <w:ind w:left="0" w:right="0"/>
        <w:jc w:val="both"/>
        <w:textAlignment w:val="auto"/>
        <w:rPr>
          <w:rFonts w:hint="eastAsia" w:ascii="仿宋" w:hAnsi="仿宋" w:eastAsia="仿宋" w:cs="仿宋"/>
          <w:sz w:val="24"/>
          <w:szCs w:val="24"/>
        </w:rPr>
      </w:pPr>
      <w:r>
        <w:rPr>
          <w:rFonts w:hint="eastAsia" w:ascii="仿宋" w:hAnsi="仿宋" w:eastAsia="仿宋" w:cs="仿宋"/>
          <w:i w:val="0"/>
          <w:caps w:val="0"/>
          <w:color w:val="000000"/>
          <w:spacing w:val="0"/>
          <w:sz w:val="24"/>
          <w:szCs w:val="24"/>
          <w:shd w:val="clear" w:fill="FFFFFF"/>
        </w:rPr>
        <w:t>      陕重汽是我国重型军车的研发生产基地。建厂50年来，秉承创优报国的家国情怀，先后承担了我军三代重型越野车研制生产任务，研发生产的重型军用越野车参加了国庆35周年、50周年、60周年、抗战胜利70周年以及庆祝中国人民解放军建军90周年阅兵仪式，成为了军民融合深度发展的“排头兵”。</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陕重汽是新能源和智能网联领域的领导者和规则制定者，经过近20年坚持不懈发展，开创了天然气重卡的商业化时代。研发推广了以 CNG、LNG、纯电动、混合动力（增程式）、氢燃料电池等为动力的多款节能与新能源汽车产品和智能驾驶重卡，先后承担了3个国家863高科技计划项目、2个国家科技支撑项目，拥有150余项替代能源及新能源汽车专利技术，主持编写了2个国家天然气汽车标准。</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陕重汽是我国首批整车和零部件出口基地企业。近年来，企业紧抓国家“一带一路”机遇，充分整合国际市场优质资源，加强国际产能合作，大力推动全球布局和产业体系国际化，在肯尼亚、尼日利亚、哈萨克斯坦、马来西亚等国家实施了本地化生产，产品销往世界100多个国家和地区，出口量连续多年位居行业前茅。 </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陕重汽是我国服务型制造的典范。关注“产品全生命周期”和“客户经营全过程”，创新开展了融资租赁、经营性租赁、商业保理、保险经纪、二手车置换、车联网数据服务（天行健）、TCO托管服务、电子商务等一系列增值服务业务，为客户提供一体化解决服务方案，打造了国内最大的商用车全生命周期服务平台。</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展望未来，在习近平新时代中国特色社会主义思想指引下，陕重汽将秉承“123456”双理念，坚持以效益为导向的管理变革，挑战自我，迈向高端，与用户共同发展，与员工一起成长，与产业链成员一起构建共生共赢的全新商用车产业生态圈，成为国际一流的商用车企业。</w:t>
      </w: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2700" w:firstLineChars="900"/>
        <w:jc w:val="both"/>
        <w:rPr>
          <w:rFonts w:hint="eastAsia" w:ascii="黑体" w:hAnsi="黑体" w:eastAsia="黑体" w:cs="黑体"/>
          <w:b w:val="0"/>
          <w:bCs w:val="0"/>
          <w:i w:val="0"/>
          <w:caps w:val="0"/>
          <w:color w:val="000000"/>
          <w:spacing w:val="0"/>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2700" w:firstLineChars="900"/>
        <w:jc w:val="both"/>
        <w:rPr>
          <w:rFonts w:hint="eastAsia" w:ascii="黑体" w:hAnsi="黑体" w:eastAsia="黑体" w:cs="黑体"/>
          <w:b w:val="0"/>
          <w:bCs w:val="0"/>
          <w:i w:val="0"/>
          <w:caps w:val="0"/>
          <w:color w:val="000000"/>
          <w:spacing w:val="0"/>
          <w:kern w:val="0"/>
          <w:sz w:val="30"/>
          <w:szCs w:val="30"/>
          <w:shd w:val="clear" w:fill="FFFFFF"/>
          <w:lang w:val="en-US" w:eastAsia="zh-CN" w:bidi="ar"/>
        </w:rPr>
      </w:pPr>
      <w:r>
        <w:rPr>
          <w:rFonts w:hint="eastAsia" w:ascii="黑体" w:hAnsi="黑体" w:eastAsia="黑体" w:cs="黑体"/>
          <w:b w:val="0"/>
          <w:bCs w:val="0"/>
          <w:i w:val="0"/>
          <w:caps w:val="0"/>
          <w:color w:val="000000"/>
          <w:spacing w:val="0"/>
          <w:kern w:val="0"/>
          <w:sz w:val="30"/>
          <w:szCs w:val="30"/>
          <w:shd w:val="clear" w:fill="FFFFFF"/>
          <w:lang w:val="en-US" w:eastAsia="zh-CN" w:bidi="ar"/>
        </w:rPr>
        <w:t>陕西汉德车桥有限公司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0" w:beforeAutospacing="0" w:after="200" w:afterAutospacing="0" w:line="420" w:lineRule="atLeast"/>
        <w:ind w:left="198" w:right="198" w:firstLine="420"/>
        <w:jc w:val="both"/>
        <w:textAlignment w:val="auto"/>
        <w:rPr>
          <w:rFonts w:hint="eastAsia" w:ascii="仿宋" w:hAnsi="仿宋" w:eastAsia="仿宋" w:cs="仿宋"/>
          <w:i w:val="0"/>
          <w:caps w:val="0"/>
          <w:color w:val="000000"/>
          <w:spacing w:val="0"/>
          <w:kern w:val="0"/>
          <w:sz w:val="24"/>
          <w:szCs w:val="24"/>
          <w:shd w:val="clear" w:fill="FFFFFF"/>
          <w:lang w:val="en-US" w:eastAsia="zh-CN" w:bidi="ar-SA"/>
        </w:rPr>
      </w:pPr>
      <w:r>
        <w:rPr>
          <w:rFonts w:hint="eastAsia" w:ascii="仿宋" w:hAnsi="仿宋" w:eastAsia="仿宋" w:cs="仿宋"/>
          <w:i w:val="0"/>
          <w:caps w:val="0"/>
          <w:color w:val="000000"/>
          <w:spacing w:val="0"/>
          <w:kern w:val="0"/>
          <w:sz w:val="24"/>
          <w:szCs w:val="24"/>
          <w:shd w:val="clear" w:fill="FFFFFF"/>
          <w:lang w:val="en-US" w:eastAsia="zh-CN" w:bidi="ar-SA"/>
        </w:rPr>
        <w:t>陕西汉德车桥有限公司于2003年3月23日由潍柴动力与陕汽集团共同投资组建，注册资本3.2亿元，前身为陕西汽车制造总厂车桥厂。公司是集研发、制造、销售为一体的大型高新技术车桥企业，拥有西安、宝鸡、株洲三大生产基地，</w:t>
      </w:r>
      <w:bookmarkStart w:id="0" w:name="OLE_LINK2"/>
      <w:bookmarkEnd w:id="0"/>
      <w:bookmarkStart w:id="1" w:name="OLE_LINK1"/>
      <w:r>
        <w:rPr>
          <w:rFonts w:hint="eastAsia" w:ascii="仿宋" w:hAnsi="仿宋" w:eastAsia="仿宋" w:cs="仿宋"/>
          <w:i w:val="0"/>
          <w:caps w:val="0"/>
          <w:color w:val="000000"/>
          <w:spacing w:val="0"/>
          <w:kern w:val="0"/>
          <w:sz w:val="24"/>
          <w:szCs w:val="24"/>
          <w:shd w:val="clear" w:fill="FFFFFF"/>
          <w:lang w:val="en-US" w:eastAsia="zh-CN" w:bidi="ar-SA"/>
        </w:rPr>
        <w:t>现有员工5500余名，具备年产各类桥总成100万根的生产能力。</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0" w:beforeAutospacing="0" w:after="200" w:afterAutospacing="0" w:line="420" w:lineRule="atLeast"/>
        <w:ind w:left="198" w:right="198" w:firstLine="420"/>
        <w:jc w:val="both"/>
        <w:textAlignment w:val="auto"/>
        <w:rPr>
          <w:rFonts w:hint="default" w:ascii="仿宋" w:hAnsi="仿宋" w:eastAsia="仿宋" w:cs="仿宋"/>
          <w:i w:val="0"/>
          <w:caps w:val="0"/>
          <w:color w:val="000000"/>
          <w:spacing w:val="0"/>
          <w:kern w:val="0"/>
          <w:sz w:val="24"/>
          <w:szCs w:val="24"/>
          <w:shd w:val="clear" w:fill="FFFFFF"/>
          <w:lang w:val="en-US" w:eastAsia="zh-CN" w:bidi="ar-SA"/>
        </w:rPr>
      </w:pPr>
      <w:r>
        <w:rPr>
          <w:rFonts w:hint="eastAsia" w:ascii="仿宋" w:hAnsi="仿宋" w:eastAsia="仿宋" w:cs="仿宋"/>
          <w:i w:val="0"/>
          <w:caps w:val="0"/>
          <w:color w:val="000000"/>
          <w:spacing w:val="0"/>
          <w:kern w:val="0"/>
          <w:sz w:val="24"/>
          <w:szCs w:val="24"/>
          <w:shd w:val="clear" w:fill="FFFFFF"/>
          <w:lang w:val="en-US" w:eastAsia="zh-CN" w:bidi="ar-SA"/>
        </w:rPr>
        <w:t>公司拥有国家实验室认可委认可、装备国际领先的试验中心和完备的设计手段，以及一流的人才队伍，具备强有力的正向研发实力。2007年6月18日，汉德车桥实现中国汽车总成技术的首次出口，为国内汽车企业实施国际化品牌战略开创了新模式，标志着中国汽车制造业由产品出口向技术出口的突破。公司凭借驱动桥总成核心技术在《重型商用车动力总成关键技术及应用》项目做出的突出贡献，荣获2018年度中国国家科学技术进步一等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0" w:beforeAutospacing="0" w:after="200" w:afterAutospacing="0" w:line="420" w:lineRule="atLeast"/>
        <w:ind w:left="198" w:right="198" w:firstLine="420"/>
        <w:jc w:val="both"/>
        <w:textAlignment w:val="auto"/>
        <w:rPr>
          <w:rFonts w:hint="default" w:ascii="仿宋" w:hAnsi="仿宋" w:eastAsia="仿宋" w:cs="仿宋"/>
          <w:i w:val="0"/>
          <w:caps w:val="0"/>
          <w:color w:val="000000"/>
          <w:spacing w:val="0"/>
          <w:kern w:val="0"/>
          <w:sz w:val="24"/>
          <w:szCs w:val="24"/>
          <w:shd w:val="clear" w:fill="FFFFFF"/>
          <w:lang w:val="en-US" w:eastAsia="zh-CN" w:bidi="ar-SA"/>
        </w:rPr>
      </w:pPr>
      <w:r>
        <w:rPr>
          <w:rFonts w:hint="eastAsia" w:ascii="仿宋" w:hAnsi="仿宋" w:eastAsia="仿宋" w:cs="仿宋"/>
          <w:i w:val="0"/>
          <w:caps w:val="0"/>
          <w:color w:val="000000"/>
          <w:spacing w:val="0"/>
          <w:kern w:val="0"/>
          <w:sz w:val="24"/>
          <w:szCs w:val="24"/>
          <w:shd w:val="clear" w:fill="FFFFFF"/>
          <w:lang w:val="en-US" w:eastAsia="zh-CN" w:bidi="ar-SA"/>
        </w:rPr>
        <w:t>公司产品涵盖重、中型卡车桥，电动车桥，工程车桥，客车桥四大系列共86个品种。目前主要产品有： 2t—25t转向前轴，10t—45t双级减速驱动桥，3.5t—16t单级减速驱动桥，7.5t—23t转向驱动前桥，3t—13t电驱动桥。各系列桥总成已批量装备我军军用越野车和国内、外各大知名商用车企业的重卡、客车、工程车。本着“贴心服务客户至上”的服务理念，公司遍布全国的28个中心库，1150个卡车特约服务网点，51个矿区的宽体车服务网点和185个客车服务网点，全方位、高效率地为用户提供贴心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0" w:beforeAutospacing="0" w:after="200" w:afterAutospacing="0" w:line="420" w:lineRule="atLeast"/>
        <w:ind w:left="198" w:right="198" w:firstLine="420"/>
        <w:jc w:val="both"/>
        <w:textAlignment w:val="auto"/>
        <w:rPr>
          <w:rFonts w:hint="default" w:ascii="仿宋" w:hAnsi="仿宋" w:eastAsia="仿宋" w:cs="仿宋"/>
          <w:i w:val="0"/>
          <w:caps w:val="0"/>
          <w:color w:val="000000"/>
          <w:spacing w:val="0"/>
          <w:kern w:val="0"/>
          <w:sz w:val="24"/>
          <w:szCs w:val="24"/>
          <w:shd w:val="clear" w:fill="FFFFFF"/>
          <w:lang w:val="en-US" w:eastAsia="zh-CN" w:bidi="ar-SA"/>
        </w:rPr>
      </w:pPr>
      <w:r>
        <w:rPr>
          <w:rFonts w:hint="eastAsia" w:ascii="仿宋" w:hAnsi="仿宋" w:eastAsia="仿宋" w:cs="仿宋"/>
          <w:i w:val="0"/>
          <w:caps w:val="0"/>
          <w:color w:val="000000"/>
          <w:spacing w:val="0"/>
          <w:kern w:val="0"/>
          <w:sz w:val="24"/>
          <w:szCs w:val="24"/>
          <w:shd w:val="clear" w:fill="FFFFFF"/>
          <w:lang w:val="en-US" w:eastAsia="zh-CN" w:bidi="ar-SA"/>
        </w:rPr>
        <w:t>一直以来，公司以基础管理提升为着力点，在企业内部全面应用ERP、精益生产（TPS）、智能制造、全面预算管理、6西格玛等先进管理理念和工具，使各项管理更加科学；通过</w:t>
      </w:r>
      <w:bookmarkStart w:id="2" w:name="OLE_LINK12"/>
      <w:bookmarkEnd w:id="2"/>
      <w:bookmarkStart w:id="3" w:name="OLE_LINK11"/>
      <w:r>
        <w:rPr>
          <w:rFonts w:hint="eastAsia" w:ascii="仿宋" w:hAnsi="仿宋" w:eastAsia="仿宋" w:cs="仿宋"/>
          <w:i w:val="0"/>
          <w:caps w:val="0"/>
          <w:color w:val="000000"/>
          <w:spacing w:val="0"/>
          <w:kern w:val="0"/>
          <w:sz w:val="24"/>
          <w:szCs w:val="24"/>
          <w:shd w:val="clear" w:fill="FFFFFF"/>
          <w:lang w:val="en-US" w:eastAsia="zh-CN" w:bidi="ar-SA"/>
        </w:rPr>
        <w:t>IATF16949</w:t>
      </w:r>
      <w:bookmarkEnd w:id="3"/>
      <w:r>
        <w:rPr>
          <w:rFonts w:hint="eastAsia" w:ascii="仿宋" w:hAnsi="仿宋" w:eastAsia="仿宋" w:cs="仿宋"/>
          <w:i w:val="0"/>
          <w:caps w:val="0"/>
          <w:color w:val="000000"/>
          <w:spacing w:val="0"/>
          <w:kern w:val="0"/>
          <w:sz w:val="24"/>
          <w:szCs w:val="24"/>
          <w:shd w:val="clear" w:fill="FFFFFF"/>
          <w:lang w:val="en-US" w:eastAsia="zh-CN" w:bidi="ar-SA"/>
        </w:rPr>
        <w:t>质量体系认证、环境/职业健康安全管理体系认证和国军标认证，使质量管理水平大幅提升；通过打造以“客户满意是我们的宗旨”为核心的企业文化，不断提高企业文化软实力，增强市场竞争能力。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0" w:beforeAutospacing="0" w:after="200" w:afterAutospacing="0" w:line="420" w:lineRule="atLeast"/>
        <w:ind w:left="198" w:right="198" w:firstLine="420"/>
        <w:jc w:val="both"/>
        <w:textAlignment w:val="auto"/>
        <w:rPr>
          <w:rFonts w:hint="default" w:ascii="仿宋" w:hAnsi="仿宋" w:eastAsia="仿宋" w:cs="仿宋"/>
          <w:i w:val="0"/>
          <w:caps w:val="0"/>
          <w:color w:val="000000"/>
          <w:spacing w:val="0"/>
          <w:kern w:val="0"/>
          <w:sz w:val="24"/>
          <w:szCs w:val="24"/>
          <w:shd w:val="clear" w:fill="FFFFFF"/>
          <w:lang w:val="en-US" w:eastAsia="zh-CN" w:bidi="ar-SA"/>
        </w:rPr>
      </w:pPr>
      <w:r>
        <w:rPr>
          <w:rFonts w:hint="eastAsia" w:ascii="仿宋" w:hAnsi="仿宋" w:eastAsia="仿宋" w:cs="仿宋"/>
          <w:i w:val="0"/>
          <w:caps w:val="0"/>
          <w:color w:val="000000"/>
          <w:spacing w:val="0"/>
          <w:kern w:val="0"/>
          <w:sz w:val="24"/>
          <w:szCs w:val="24"/>
          <w:shd w:val="clear" w:fill="FFFFFF"/>
          <w:lang w:val="en-US" w:eastAsia="zh-CN" w:bidi="ar-SA"/>
        </w:rPr>
        <w:t>公司立足国内、放眼世界，以“为全球客户提供更可靠、高效的车桥产品，为员工创造美好生活”为使命，秉承“坚持技术领先和国际化，做强三大板块，成为国际一流”的企业发展战略。在国内市场，与六十余家主机厂建立了稳定的合作关系；在国际市场，桥总成产品已批量出口欧洲、北美洲、亚洲、大洋洲的十余个国家和地区，连续多年稳居国内桥总成出口第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0" w:beforeAutospacing="0" w:after="200" w:afterAutospacing="0" w:line="420" w:lineRule="atLeast"/>
        <w:ind w:left="198" w:right="198" w:firstLine="420"/>
        <w:jc w:val="left"/>
        <w:textAlignment w:val="auto"/>
        <w:rPr>
          <w:rFonts w:hint="default" w:ascii="仿宋" w:hAnsi="仿宋" w:eastAsia="仿宋" w:cs="仿宋"/>
          <w:i w:val="0"/>
          <w:caps w:val="0"/>
          <w:color w:val="000000"/>
          <w:spacing w:val="0"/>
          <w:kern w:val="0"/>
          <w:sz w:val="24"/>
          <w:szCs w:val="24"/>
          <w:shd w:val="clear" w:fill="FFFFFF"/>
          <w:lang w:val="en-US" w:eastAsia="zh-CN" w:bidi="ar-SA"/>
        </w:rPr>
      </w:pPr>
      <w:r>
        <w:rPr>
          <w:rFonts w:hint="eastAsia" w:ascii="仿宋" w:hAnsi="仿宋" w:eastAsia="仿宋" w:cs="仿宋"/>
          <w:i w:val="0"/>
          <w:caps w:val="0"/>
          <w:color w:val="000000"/>
          <w:spacing w:val="0"/>
          <w:kern w:val="0"/>
          <w:sz w:val="24"/>
          <w:szCs w:val="24"/>
          <w:shd w:val="clear" w:fill="FFFFFF"/>
          <w:lang w:val="en-US" w:eastAsia="zh-CN" w:bidi="ar-SA"/>
        </w:rPr>
        <w:t>汉德车桥持续保持高质量、高速度的发展态势，竭诚为广大客户提供满足需求的高质量产品。</w:t>
      </w:r>
    </w:p>
    <w:p>
      <w:pPr>
        <w:jc w:val="left"/>
        <w:rPr>
          <w:rFonts w:hint="eastAsia" w:ascii="黑体" w:eastAsia="黑体"/>
          <w:bCs/>
          <w:sz w:val="28"/>
          <w:szCs w:val="28"/>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2700" w:firstLineChars="900"/>
        <w:jc w:val="both"/>
        <w:rPr>
          <w:rFonts w:hint="eastAsia" w:ascii="黑体" w:hAnsi="黑体" w:eastAsia="黑体" w:cs="黑体"/>
          <w:b w:val="0"/>
          <w:bCs w:val="0"/>
          <w:i w:val="0"/>
          <w:caps w:val="0"/>
          <w:color w:val="000000"/>
          <w:spacing w:val="0"/>
          <w:kern w:val="0"/>
          <w:sz w:val="30"/>
          <w:szCs w:val="30"/>
          <w:shd w:val="clear" w:fill="FFFFFF"/>
          <w:lang w:val="en-US" w:eastAsia="zh-CN" w:bidi="ar"/>
        </w:rPr>
      </w:pPr>
      <w:r>
        <w:rPr>
          <w:rFonts w:hint="eastAsia" w:ascii="黑体" w:hAnsi="黑体" w:eastAsia="黑体" w:cs="黑体"/>
          <w:b w:val="0"/>
          <w:bCs w:val="0"/>
          <w:i w:val="0"/>
          <w:caps w:val="0"/>
          <w:color w:val="000000"/>
          <w:spacing w:val="0"/>
          <w:kern w:val="0"/>
          <w:sz w:val="30"/>
          <w:szCs w:val="30"/>
          <w:shd w:val="clear" w:fill="FFFFFF"/>
          <w:lang w:val="en-US" w:eastAsia="zh-CN" w:bidi="ar"/>
        </w:rPr>
        <w:t>陕汽集团商用车有限公司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val="0"/>
        <w:snapToGrid w:val="0"/>
        <w:spacing w:before="40" w:beforeAutospacing="0" w:after="0" w:afterAutospacing="0" w:line="420" w:lineRule="exact"/>
        <w:ind w:right="0" w:firstLine="480" w:firstLineChars="200"/>
        <w:jc w:val="left"/>
        <w:textAlignment w:val="auto"/>
        <w:rPr>
          <w:rFonts w:hint="eastAsia" w:ascii="仿宋" w:hAnsi="仿宋" w:eastAsia="仿宋" w:cs="仿宋"/>
          <w:i w:val="0"/>
          <w:caps w:val="0"/>
          <w:color w:val="434343"/>
          <w:spacing w:val="0"/>
          <w:kern w:val="0"/>
          <w:sz w:val="24"/>
          <w:szCs w:val="24"/>
          <w:shd w:val="clear" w:fill="F5F6EE"/>
          <w:lang w:val="en-US" w:eastAsia="zh-CN" w:bidi="ar"/>
        </w:rPr>
      </w:pPr>
      <w:r>
        <w:rPr>
          <w:rFonts w:hint="eastAsia" w:ascii="仿宋" w:hAnsi="仿宋" w:eastAsia="仿宋" w:cs="仿宋"/>
          <w:i w:val="0"/>
          <w:caps w:val="0"/>
          <w:color w:val="434343"/>
          <w:spacing w:val="0"/>
          <w:kern w:val="0"/>
          <w:sz w:val="24"/>
          <w:szCs w:val="24"/>
          <w:shd w:val="clear" w:fill="F5F6EE"/>
          <w:lang w:val="en-US" w:eastAsia="zh-CN" w:bidi="ar"/>
        </w:rPr>
        <w:t>陕汽集团商用车有限公司（以下简称“陕汽商用车”）位于陕西省宝鸡市，是陕西汽车控股集团有限公司核心整车子公司，也是西北地区唯一一家集产品研发、生产制造、检测调试、市场营销、售后服务为一体的数字化、智能化的全系列商用车产业基地。作为陕西省“300万辆汽车工程”产业规划的重要组成部分，陕汽“2035战略”落地的新引擎，陕汽商用车于2018年正式被陕西省国资委纳入国企改革试点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val="0"/>
        <w:snapToGrid w:val="0"/>
        <w:spacing w:before="40" w:beforeAutospacing="0" w:after="0" w:afterAutospacing="0" w:line="420" w:lineRule="exact"/>
        <w:ind w:right="0" w:firstLine="480" w:firstLineChars="200"/>
        <w:jc w:val="left"/>
        <w:textAlignment w:val="auto"/>
        <w:rPr>
          <w:rFonts w:hint="eastAsia" w:ascii="仿宋" w:hAnsi="仿宋" w:eastAsia="仿宋" w:cs="仿宋"/>
          <w:i w:val="0"/>
          <w:caps w:val="0"/>
          <w:color w:val="434343"/>
          <w:spacing w:val="0"/>
          <w:sz w:val="24"/>
          <w:szCs w:val="24"/>
        </w:rPr>
      </w:pPr>
      <w:r>
        <w:rPr>
          <w:rFonts w:hint="eastAsia" w:ascii="仿宋" w:hAnsi="仿宋" w:eastAsia="仿宋" w:cs="仿宋"/>
          <w:i w:val="0"/>
          <w:caps w:val="0"/>
          <w:color w:val="434343"/>
          <w:spacing w:val="0"/>
          <w:kern w:val="0"/>
          <w:sz w:val="24"/>
          <w:szCs w:val="24"/>
          <w:shd w:val="clear" w:fill="F5F6EE"/>
          <w:lang w:val="en-US" w:eastAsia="zh-CN" w:bidi="ar"/>
        </w:rPr>
        <w:t>公司产品覆盖重、中、轻型卡车、新能源汽车、专用车等全系列200多个品种，并在新能源和轻量化研发制造领域具有一流的技术及产品研发优势。在全国拥有600多个销售服务网点，用户覆盖全国31个省、市、自治区和直辖市，并陆续在非洲、南美洲、东南亚、中亚等地区实现整车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snapToGrid w:val="0"/>
        <w:spacing w:before="40" w:beforeAutospacing="0" w:after="0" w:afterAutospacing="0" w:line="420" w:lineRule="exact"/>
        <w:ind w:left="0" w:right="0" w:firstLine="480" w:firstLineChars="200"/>
        <w:jc w:val="left"/>
        <w:textAlignment w:val="auto"/>
        <w:rPr>
          <w:rFonts w:hint="eastAsia" w:ascii="仿宋" w:hAnsi="仿宋" w:eastAsia="仿宋" w:cs="仿宋"/>
          <w:i w:val="0"/>
          <w:caps w:val="0"/>
          <w:color w:val="434343"/>
          <w:spacing w:val="0"/>
          <w:sz w:val="24"/>
          <w:szCs w:val="24"/>
        </w:rPr>
      </w:pPr>
      <w:r>
        <w:rPr>
          <w:rFonts w:hint="eastAsia" w:ascii="仿宋" w:hAnsi="仿宋" w:eastAsia="仿宋" w:cs="仿宋"/>
          <w:i w:val="0"/>
          <w:caps w:val="0"/>
          <w:color w:val="434343"/>
          <w:spacing w:val="0"/>
          <w:kern w:val="0"/>
          <w:sz w:val="24"/>
          <w:szCs w:val="24"/>
          <w:shd w:val="clear" w:fill="F5F6EE"/>
          <w:lang w:val="en-US" w:eastAsia="zh-CN" w:bidi="ar"/>
        </w:rPr>
        <w:t>公司科研力量雄厚，拥有专利80多项，2017年10月被认定为国家级高新技术企业。由陕汽商用车研发生产的陕汽纯电动轻卡荣获2017年度陕西省科学技术奖二等奖、荣获2018年中国商用车“年度新能源货车”大奖，同时荣膺“国家应用类科技成果”、“陕西省重点产业链项目”、“陕西省新产品新技术”等诸多荣誉；轩德6系轻量化王者自卸各项性能指标领跑行业，成为公司明星产品，上市以来累计销售近万辆，荣获2018年中国商用车“年度载货车”大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snapToGrid w:val="0"/>
        <w:spacing w:before="40" w:beforeAutospacing="0" w:after="0" w:afterAutospacing="0" w:line="420" w:lineRule="exact"/>
        <w:ind w:left="0" w:right="0" w:firstLine="480" w:firstLineChars="200"/>
        <w:jc w:val="left"/>
        <w:textAlignment w:val="auto"/>
        <w:rPr>
          <w:rFonts w:hint="eastAsia" w:ascii="仿宋" w:hAnsi="仿宋" w:eastAsia="仿宋" w:cs="仿宋"/>
          <w:i w:val="0"/>
          <w:caps w:val="0"/>
          <w:color w:val="434343"/>
          <w:spacing w:val="0"/>
          <w:sz w:val="24"/>
          <w:szCs w:val="24"/>
        </w:rPr>
      </w:pPr>
      <w:r>
        <w:rPr>
          <w:rFonts w:hint="eastAsia" w:ascii="仿宋" w:hAnsi="仿宋" w:eastAsia="仿宋" w:cs="仿宋"/>
          <w:i w:val="0"/>
          <w:caps w:val="0"/>
          <w:color w:val="434343"/>
          <w:spacing w:val="0"/>
          <w:kern w:val="0"/>
          <w:sz w:val="24"/>
          <w:szCs w:val="24"/>
          <w:shd w:val="clear" w:fill="F5F6EE"/>
          <w:lang w:val="en-US" w:eastAsia="zh-CN" w:bidi="ar"/>
        </w:rPr>
        <w:t>公司设备精良，拥有现代化的焊装生产线、涂装生产线、装配生产线以及高效精密的计量、检测、试验手段，为产品的高质量提供了可靠的保证，已先后通过IATF16949：2016汽车行业质量管理体系认证、ISO14001:2015环境管理体系认证、OHSAS18001:2007职业健康安全管理体系认证，批量生产的汽车产品均通过国家CCC强制性产品认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snapToGrid w:val="0"/>
        <w:spacing w:before="40" w:beforeAutospacing="0" w:after="0" w:afterAutospacing="0" w:line="420" w:lineRule="exact"/>
        <w:ind w:left="0" w:right="0" w:firstLine="480" w:firstLineChars="200"/>
        <w:jc w:val="left"/>
        <w:textAlignment w:val="auto"/>
        <w:rPr>
          <w:rFonts w:hint="eastAsia" w:ascii="仿宋" w:hAnsi="仿宋" w:eastAsia="仿宋" w:cs="仿宋"/>
          <w:i w:val="0"/>
          <w:caps w:val="0"/>
          <w:color w:val="434343"/>
          <w:spacing w:val="0"/>
          <w:sz w:val="24"/>
          <w:szCs w:val="24"/>
        </w:rPr>
      </w:pPr>
      <w:r>
        <w:rPr>
          <w:rFonts w:hint="eastAsia" w:ascii="仿宋" w:hAnsi="仿宋" w:eastAsia="仿宋" w:cs="仿宋"/>
          <w:i w:val="0"/>
          <w:caps w:val="0"/>
          <w:color w:val="434343"/>
          <w:spacing w:val="0"/>
          <w:kern w:val="0"/>
          <w:sz w:val="24"/>
          <w:szCs w:val="24"/>
          <w:shd w:val="clear" w:fill="F5F6EE"/>
          <w:lang w:val="en-US" w:eastAsia="zh-CN" w:bidi="ar"/>
        </w:rPr>
        <w:t>公司将以陕汽全系列商用车迁建项目为契机，在宝鸡蔡家坡建设一个全新的高端化、智能化全系列商用车绿色制造基地。该项目占地面积2000亩，总投资45.76亿元，建成后具备20万辆全系列商用车生产能力。项目分两期进行：一期投资27.9亿元，征地907亩，建设完成后主要生产自主研发的长头车项目、新能源汽车及其他全系列商用车产品，达产后具备10万辆全系列卡车生产能力，业务规模力争突破300亿元；二期投资17.86亿元，对生产线进行填平补齐，建成后补充新增10万辆全系列卡车生产能力，共计形成20万辆生产能力，整体规模力争突破550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snapToGrid w:val="0"/>
        <w:spacing w:before="40" w:beforeAutospacing="0" w:after="0" w:afterAutospacing="0" w:line="420" w:lineRule="exact"/>
        <w:ind w:left="0" w:right="0" w:firstLine="480" w:firstLineChars="200"/>
        <w:jc w:val="left"/>
        <w:textAlignment w:val="auto"/>
        <w:rPr>
          <w:rFonts w:hint="eastAsia" w:ascii="黑体" w:hAnsi="黑体" w:eastAsia="黑体" w:cs="黑体"/>
          <w:b w:val="0"/>
          <w:bCs w:val="0"/>
          <w:i w:val="0"/>
          <w:caps w:val="0"/>
          <w:color w:val="000000"/>
          <w:spacing w:val="0"/>
          <w:kern w:val="0"/>
          <w:sz w:val="30"/>
          <w:szCs w:val="30"/>
          <w:shd w:val="clear" w:fill="FFFFFF"/>
          <w:lang w:val="en-US" w:eastAsia="zh-CN" w:bidi="ar"/>
        </w:rPr>
      </w:pPr>
      <w:r>
        <w:rPr>
          <w:rFonts w:hint="eastAsia" w:ascii="仿宋" w:hAnsi="仿宋" w:eastAsia="仿宋" w:cs="仿宋"/>
          <w:i w:val="0"/>
          <w:caps w:val="0"/>
          <w:color w:val="434343"/>
          <w:spacing w:val="0"/>
          <w:kern w:val="0"/>
          <w:sz w:val="24"/>
          <w:szCs w:val="24"/>
          <w:shd w:val="clear" w:fill="F5F6EE"/>
          <w:lang w:val="en-US" w:eastAsia="zh-CN" w:bidi="ar"/>
        </w:rPr>
        <w:t>展望未来，陕汽商用车将秉承“德赢天下，服务领先，品质成就未来”的经营理念，以全系列商用车研发生产销售基地为平台，以“新能源+智能网联”为新一代核心竞争力，紧抓汽车产业转型升级的战略机遇，确立陕汽在新能源技术领域的领导者地位，不遗余力地推动陕汽全系列商用车板块的追赶超越,实现陕汽控股双轮驱动。</w:t>
      </w:r>
    </w:p>
    <w:p>
      <w:pPr>
        <w:keepNext w:val="0"/>
        <w:keepLines w:val="0"/>
        <w:pageBreakBefore w:val="0"/>
        <w:widowControl/>
        <w:kinsoku/>
        <w:wordWrap/>
        <w:overflowPunct/>
        <w:topLinePunct w:val="0"/>
        <w:autoSpaceDE/>
        <w:autoSpaceDN/>
        <w:bidi w:val="0"/>
        <w:adjustRightInd/>
        <w:snapToGrid w:val="0"/>
        <w:spacing w:before="40" w:after="0" w:line="420" w:lineRule="exact"/>
        <w:ind w:right="0" w:rightChars="0"/>
        <w:jc w:val="both"/>
        <w:textAlignment w:val="auto"/>
        <w:outlineLvl w:val="9"/>
        <w:rPr>
          <w:rFonts w:hint="eastAsia" w:ascii="仿宋" w:hAnsi="仿宋" w:eastAsia="仿宋" w:cs="仿宋"/>
          <w:bCs/>
          <w:sz w:val="24"/>
          <w:szCs w:val="24"/>
          <w:lang w:val="en-US" w:eastAsia="zh-CN"/>
        </w:rPr>
      </w:pPr>
    </w:p>
    <w:sectPr>
      <w:pgSz w:w="11906" w:h="16838"/>
      <w:pgMar w:top="1440" w:right="1306" w:bottom="658"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Light">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F565D"/>
    <w:multiLevelType w:val="singleLevel"/>
    <w:tmpl w:val="C65F56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1B1D"/>
    <w:rsid w:val="03800AFF"/>
    <w:rsid w:val="045D5FD8"/>
    <w:rsid w:val="056526A9"/>
    <w:rsid w:val="05C762EA"/>
    <w:rsid w:val="0A3C699F"/>
    <w:rsid w:val="0AFE156D"/>
    <w:rsid w:val="0CD263C6"/>
    <w:rsid w:val="0E6C26CF"/>
    <w:rsid w:val="0F6A7070"/>
    <w:rsid w:val="12B4536E"/>
    <w:rsid w:val="13814F51"/>
    <w:rsid w:val="13BE2D57"/>
    <w:rsid w:val="16287713"/>
    <w:rsid w:val="1FC82F66"/>
    <w:rsid w:val="21511557"/>
    <w:rsid w:val="229D4C05"/>
    <w:rsid w:val="22DC1E75"/>
    <w:rsid w:val="231F2CF7"/>
    <w:rsid w:val="247439B8"/>
    <w:rsid w:val="259A4A31"/>
    <w:rsid w:val="29256A83"/>
    <w:rsid w:val="29EF3ED2"/>
    <w:rsid w:val="2CCF2D0C"/>
    <w:rsid w:val="301E4301"/>
    <w:rsid w:val="305370F6"/>
    <w:rsid w:val="3314249E"/>
    <w:rsid w:val="33B27117"/>
    <w:rsid w:val="353C1960"/>
    <w:rsid w:val="36B42F61"/>
    <w:rsid w:val="36CD3026"/>
    <w:rsid w:val="37E620FC"/>
    <w:rsid w:val="37FF1FB5"/>
    <w:rsid w:val="381F27F8"/>
    <w:rsid w:val="39A1505F"/>
    <w:rsid w:val="3D796A5E"/>
    <w:rsid w:val="3E63351E"/>
    <w:rsid w:val="459B6AA3"/>
    <w:rsid w:val="45AF0842"/>
    <w:rsid w:val="46F360C7"/>
    <w:rsid w:val="493D6E69"/>
    <w:rsid w:val="4A161708"/>
    <w:rsid w:val="4A750A11"/>
    <w:rsid w:val="4B567C23"/>
    <w:rsid w:val="5656081E"/>
    <w:rsid w:val="5711003A"/>
    <w:rsid w:val="58450BF7"/>
    <w:rsid w:val="5B1E2259"/>
    <w:rsid w:val="621C662C"/>
    <w:rsid w:val="625D1411"/>
    <w:rsid w:val="628A7F8B"/>
    <w:rsid w:val="66DC14A6"/>
    <w:rsid w:val="67267DD9"/>
    <w:rsid w:val="675F1B24"/>
    <w:rsid w:val="6F543D96"/>
    <w:rsid w:val="6F8117A7"/>
    <w:rsid w:val="70790437"/>
    <w:rsid w:val="71901F4D"/>
    <w:rsid w:val="763100D4"/>
    <w:rsid w:val="773E7BA8"/>
    <w:rsid w:val="78882C12"/>
    <w:rsid w:val="796F7DBF"/>
    <w:rsid w:val="7C3D2A1D"/>
    <w:rsid w:val="7CBC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Normal (Web)"/>
    <w:basedOn w:val="1"/>
    <w:semiHidden/>
    <w:unhideWhenUsed/>
    <w:qFormat/>
    <w:uiPriority w:val="99"/>
    <w:pPr>
      <w:spacing w:before="100" w:beforeAutospacing="1" w:after="100" w:afterAutospacing="1"/>
      <w:jc w:val="left"/>
    </w:pPr>
    <w:rPr>
      <w:kern w:val="0"/>
      <w:sz w:val="24"/>
      <w:szCs w:val="24"/>
    </w:rPr>
  </w:style>
  <w:style w:type="paragraph" w:styleId="5">
    <w:name w:val="Title"/>
    <w:basedOn w:val="1"/>
    <w:next w:val="1"/>
    <w:qFormat/>
    <w:uiPriority w:val="0"/>
    <w:pPr>
      <w:spacing w:before="240" w:after="60"/>
      <w:jc w:val="center"/>
      <w:outlineLvl w:val="0"/>
    </w:pPr>
    <w:rPr>
      <w:rFonts w:ascii="等线 Light" w:hAnsi="等线 Light"/>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_Style 8"/>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2019-09-05T08:21:00Z</cp:lastPrinted>
  <dcterms:modified xsi:type="dcterms:W3CDTF">2020-01-17T01:10:05Z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